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54" w:rsidRPr="00AF0D54" w:rsidRDefault="00AF0D54" w:rsidP="00AF0D54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it-IT"/>
        </w:rPr>
      </w:pPr>
      <w:r w:rsidRPr="00AF0D54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Pr="00AF0D54">
        <w:rPr>
          <w:rFonts w:ascii="Verdana" w:eastAsia="Times New Roman" w:hAnsi="Verdana" w:cs="Times New Roman"/>
          <w:b/>
          <w:sz w:val="32"/>
          <w:szCs w:val="32"/>
          <w:lang w:eastAsia="it-IT"/>
        </w:rPr>
        <w:t>ZONE CLIMATICHE ITALIA E PERIODO RISCALDAMENTO</w:t>
      </w:r>
    </w:p>
    <w:p w:rsidR="00AF0D54" w:rsidRPr="00AF0D54" w:rsidRDefault="00AF0D54" w:rsidP="00AF0D5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AF0D54" w:rsidRPr="00AF0D54" w:rsidRDefault="00AF0D54" w:rsidP="00AF0D5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AF0D54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>
            <wp:extent cx="5138145" cy="3417315"/>
            <wp:effectExtent l="19050" t="0" r="5355" b="0"/>
            <wp:docPr id="1" name="Immagine 1" descr="http://www.luceegasitalia.it/wp-content/uploads/2020/01/Zone-climatiche-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ceegasitalia.it/wp-content/uploads/2020/01/Zone-climatiche-Ital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46" cy="341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54" w:rsidRPr="00AF0D54" w:rsidRDefault="00AF0D54" w:rsidP="00AF0D5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Il periodo e le ore giornaliere in cui è possibile accendere l’impianto di riscaldamento non sono uguali in tutta Italia. </w:t>
      </w: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Il territorio nazionale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, infatti,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è suddiviso in 6 zone climatiche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in base alla media delle temperature giornaliere. Ciò permette di valutare quale sia il fabbisogno termico per ciascuna area, così da ottimizzare i consumi, le emissioni di CO</w:t>
      </w:r>
      <w:r w:rsidRPr="00AF0D54">
        <w:rPr>
          <w:rFonts w:ascii="Verdana" w:eastAsia="Times New Roman" w:hAnsi="Verdana" w:cs="Helvetica"/>
          <w:color w:val="343A40"/>
          <w:sz w:val="19"/>
          <w:szCs w:val="19"/>
          <w:vertAlign w:val="subscript"/>
          <w:lang w:eastAsia="it-IT"/>
        </w:rPr>
        <w:t>2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nell’atmosfera e l’impatto economico dell’approvvigionamento energetico.</w:t>
      </w:r>
    </w:p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</w:t>
      </w: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Come vengono calcolate le zone climatiche?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La definizione delle fasce viene fatta tramite i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gradi-giorno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 xml:space="preserve"> (GG o </w:t>
      </w:r>
      <w:proofErr w:type="spellStart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gr-g</w:t>
      </w:r>
      <w:proofErr w:type="spellEnd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 xml:space="preserve">). </w:t>
      </w: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Essi corrispondono alla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somma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, in tutti i giorni dell’anno,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della differenza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(solo quella positiva)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tra la temperatura dell’ambiente interno 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(fissata per convenzione a 20°C)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e la temperatura media esterna giornaliera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.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</w:p>
    <w:p w:rsidR="00AF0D54" w:rsidRPr="00AF0D54" w:rsidRDefault="00AF0D54" w:rsidP="00AF0D54">
      <w:pPr>
        <w:shd w:val="clear" w:color="auto" w:fill="FFFFFF"/>
        <w:spacing w:after="250" w:line="240" w:lineRule="auto"/>
        <w:jc w:val="center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noProof/>
          <w:color w:val="343A40"/>
          <w:sz w:val="25"/>
          <w:szCs w:val="25"/>
          <w:lang w:eastAsia="it-IT"/>
        </w:rPr>
        <w:drawing>
          <wp:inline distT="0" distB="0" distL="0" distR="0">
            <wp:extent cx="2555184" cy="780499"/>
            <wp:effectExtent l="19050" t="0" r="0" b="0"/>
            <wp:docPr id="2" name="Immagine 2" descr="Formula gradi-gi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 gradi-gior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44" cy="78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Ciò significa che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più è elevato tale numero, più rigido sarà il clima in quel territorio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. Tale indicatore è valutato da comune a comune.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 </w:t>
      </w:r>
    </w:p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</w:t>
      </w:r>
    </w:p>
    <w:p w:rsidR="00AF0D54" w:rsidRDefault="00AF0D54">
      <w:pPr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</w:pPr>
      <w:r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br w:type="page"/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lastRenderedPageBreak/>
        <w:t>Quali sono le zone climatiche?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Il </w:t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D.P.R. n. 412 del 26 agosto 1993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ha introdotto, in base al calcolo dei gradi-giorno, sei zone climatiche sul territorio italiano: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A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: comuni con gradi-giorno inferiori a 600;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B: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comuni con gradi-giorno tra 600 e 900;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C: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comuni con gradi-giorno tra 901 e 1400;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D: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comuni con gradi-giorno tra 1401 e 2100;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E: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comuni con gradi-giorno tra 2101 e 3000;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</w: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Zona F: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comuni con gradi-giorno superiori a 3000.</w:t>
      </w: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noProof/>
          <w:color w:val="343A40"/>
          <w:sz w:val="25"/>
          <w:szCs w:val="25"/>
          <w:lang w:eastAsia="it-IT"/>
        </w:rPr>
        <w:drawing>
          <wp:inline distT="0" distB="0" distL="0" distR="0">
            <wp:extent cx="6194853" cy="7931426"/>
            <wp:effectExtent l="19050" t="0" r="0" b="0"/>
            <wp:docPr id="3" name="Immagine 3" descr="Mappa zone climatiche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pa zone climatiche 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33" cy="793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lastRenderedPageBreak/>
        <w:t>La zona A quindi è quella con i climi più caldi (vi appartengono i comuni di Lampedusa e Porto Empedocle in Sicilia), mentre la zona F sono le aree più fredde (comuni delle Alpi e alcuni comuni dell’</w:t>
      </w:r>
      <w:proofErr w:type="spellStart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Appenino</w:t>
      </w:r>
      <w:proofErr w:type="spellEnd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). </w:t>
      </w:r>
    </w:p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Quali sono i periodi di accensione degli impianti per ciascuna zona?</w:t>
      </w:r>
    </w:p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Ecco qui di seguito la tabella riassuntiva dei periodi e degli orari di accensione consentiti:</w:t>
      </w:r>
    </w:p>
    <w:tbl>
      <w:tblPr>
        <w:tblW w:w="10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6"/>
        <w:gridCol w:w="4121"/>
        <w:gridCol w:w="3418"/>
      </w:tblGrid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62A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b/>
                <w:bCs/>
                <w:color w:val="343A40"/>
                <w:sz w:val="24"/>
                <w:szCs w:val="24"/>
                <w:lang w:eastAsia="it-IT"/>
              </w:rPr>
              <w:t>Zona climatica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62A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b/>
                <w:bCs/>
                <w:color w:val="343A40"/>
                <w:sz w:val="24"/>
                <w:szCs w:val="24"/>
                <w:lang w:eastAsia="it-IT"/>
              </w:rPr>
              <w:t>Periodo di accensione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62A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b/>
                <w:bCs/>
                <w:color w:val="343A40"/>
                <w:sz w:val="24"/>
                <w:szCs w:val="24"/>
                <w:lang w:eastAsia="it-IT"/>
              </w:rPr>
              <w:t>Orario consentito</w:t>
            </w:r>
          </w:p>
        </w:tc>
      </w:tr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1° dicembre – 15 marzo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6 ore giornaliere</w:t>
            </w:r>
          </w:p>
        </w:tc>
      </w:tr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1° dicembre – 31 marzo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8 ore giornaliere</w:t>
            </w:r>
          </w:p>
        </w:tc>
      </w:tr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15 novembre – 31 marzo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10 ore giornaliere</w:t>
            </w:r>
          </w:p>
        </w:tc>
      </w:tr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1° novembre – 15 aprile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12 ore giornaliere</w:t>
            </w:r>
          </w:p>
        </w:tc>
      </w:tr>
      <w:tr w:rsidR="00AF0D54" w:rsidRPr="00AF0D54" w:rsidTr="00AF0D54">
        <w:trPr>
          <w:trHeight w:val="8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15 ottobre – 15 aprile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14 ore giornaliere</w:t>
            </w:r>
          </w:p>
        </w:tc>
      </w:tr>
      <w:tr w:rsidR="00AF0D54" w:rsidRPr="00AF0D54" w:rsidTr="00AF0D54">
        <w:trPr>
          <w:trHeight w:val="908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nessuna limitazione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D54" w:rsidRPr="00AF0D54" w:rsidRDefault="00AF0D54" w:rsidP="00AF0D54">
            <w:pPr>
              <w:spacing w:after="0" w:line="376" w:lineRule="atLeast"/>
              <w:jc w:val="center"/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</w:pPr>
            <w:r w:rsidRPr="00AF0D54">
              <w:rPr>
                <w:rFonts w:ascii="Verdana" w:eastAsia="Times New Roman" w:hAnsi="Verdana" w:cs="Helvetica"/>
                <w:color w:val="343A40"/>
                <w:sz w:val="24"/>
                <w:szCs w:val="24"/>
                <w:lang w:eastAsia="it-IT"/>
              </w:rPr>
              <w:t>nessuna limitazione</w:t>
            </w:r>
          </w:p>
        </w:tc>
      </w:tr>
    </w:tbl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 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Queste fasce sono vincolanti o ci possono essere delle eccezioni?</w:t>
      </w:r>
    </w:p>
    <w:p w:rsidR="00AF0D54" w:rsidRPr="00AF0D54" w:rsidRDefault="00AF0D54" w:rsidP="00AF0D54">
      <w:pPr>
        <w:shd w:val="clear" w:color="auto" w:fill="FFFFFF"/>
        <w:spacing w:after="25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 xml:space="preserve">In caso di condizioni </w:t>
      </w:r>
      <w:proofErr w:type="spellStart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metereologiche</w:t>
      </w:r>
      <w:proofErr w:type="spellEnd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 xml:space="preserve"> particolarmente rigide, i sindaci dei singoli comuni possono consentire l’accensione degli impianti anche in periodi di tempo più ampi – seppur con dei limiti da rispettare.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 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 xml:space="preserve">L’accensione giornaliera </w:t>
      </w:r>
      <w:proofErr w:type="spellStart"/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dev</w:t>
      </w:r>
      <w:proofErr w:type="spellEnd"/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’essere continuativa?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Non necessariamente: l’utilizzo giornaliero degli impianti di riscaldamento può essere suddiviso in due o tre sezioni orarie, purché comprese tra le ore 5:00 e le ore 23:00.</w:t>
      </w: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br/>
        <w:t xml:space="preserve">In caso di caldaia centralizzata a livello condominiale, tali orari vanno decisi dall’Assemblea dei </w:t>
      </w:r>
      <w:proofErr w:type="spellStart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condòmini</w:t>
      </w:r>
      <w:proofErr w:type="spellEnd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.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 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 xml:space="preserve">Quale </w:t>
      </w:r>
      <w:proofErr w:type="spellStart"/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dev</w:t>
      </w:r>
      <w:proofErr w:type="spellEnd"/>
      <w:r w:rsidRPr="00AF0D54">
        <w:rPr>
          <w:rFonts w:ascii="Verdana" w:eastAsia="Times New Roman" w:hAnsi="Verdana" w:cs="Helvetica"/>
          <w:b/>
          <w:bCs/>
          <w:color w:val="343A40"/>
          <w:sz w:val="25"/>
          <w:lang w:eastAsia="it-IT"/>
        </w:rPr>
        <w:t>’essere la temperatura impostata?</w:t>
      </w:r>
    </w:p>
    <w:p w:rsidR="00AF0D54" w:rsidRPr="00AF0D54" w:rsidRDefault="00AF0D54" w:rsidP="00AF0D5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</w:pPr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 xml:space="preserve">La temperatura degli ambienti interni </w:t>
      </w:r>
      <w:proofErr w:type="spellStart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dev</w:t>
      </w:r>
      <w:proofErr w:type="spellEnd"/>
      <w:r w:rsidRPr="00AF0D54">
        <w:rPr>
          <w:rFonts w:ascii="Verdana" w:eastAsia="Times New Roman" w:hAnsi="Verdana" w:cs="Helvetica"/>
          <w:color w:val="343A40"/>
          <w:sz w:val="25"/>
          <w:szCs w:val="25"/>
          <w:lang w:eastAsia="it-IT"/>
        </w:rPr>
        <w:t>’essere impostata a 20°C (che è, come abbiamo visto, la temperatura di riferimento nel calcolo dei gradi-giorno). Vi è una tolleranza di 2°C, quindi fino a un massimo di 22°C.</w:t>
      </w:r>
    </w:p>
    <w:p w:rsidR="00452ECF" w:rsidRPr="00AF0D54" w:rsidRDefault="00452ECF">
      <w:pPr>
        <w:rPr>
          <w:rFonts w:ascii="Verdana" w:hAnsi="Verdana"/>
        </w:rPr>
      </w:pPr>
    </w:p>
    <w:sectPr w:rsidR="00452ECF" w:rsidRPr="00AF0D54" w:rsidSect="00AF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F0D54"/>
    <w:rsid w:val="00452ECF"/>
    <w:rsid w:val="00A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0D5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0D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2020-09-30T07:42:00Z</dcterms:created>
  <dcterms:modified xsi:type="dcterms:W3CDTF">2020-09-30T07:44:00Z</dcterms:modified>
</cp:coreProperties>
</file>